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B64" w:rsidRDefault="00612D6C" w:rsidP="00516B64">
      <w:r w:rsidRPr="00612D6C">
        <w:t>Dette projekt er finansieret med støtte fra Europa-Kommissionen. Denne publikation forpligter kun forfatteren, og Kommissionen kan ikke drages til ansvar for brug af oplysningerne heri.</w:t>
      </w:r>
    </w:p>
    <w:p w:rsidR="00612D6C" w:rsidRPr="000E0B7E" w:rsidRDefault="00612D6C" w:rsidP="00516B64"/>
    <w:p w:rsidR="00516B64" w:rsidRPr="000E0B7E" w:rsidRDefault="00516B64" w:rsidP="00516B64"/>
    <w:p w:rsidR="00516B64" w:rsidRPr="000E0B7E" w:rsidRDefault="00516B64" w:rsidP="00516B64">
      <w:pPr>
        <w:jc w:val="center"/>
        <w:rPr>
          <w:sz w:val="36"/>
          <w:szCs w:val="36"/>
        </w:rPr>
      </w:pPr>
      <w:r w:rsidRPr="000E0B7E">
        <w:rPr>
          <w:sz w:val="36"/>
          <w:szCs w:val="36"/>
        </w:rPr>
        <w:t>S</w:t>
      </w:r>
      <w:r w:rsidR="004B343C" w:rsidRPr="000E0B7E">
        <w:rPr>
          <w:sz w:val="36"/>
          <w:szCs w:val="36"/>
        </w:rPr>
        <w:t>ærlige farer på en arbejdsplads</w:t>
      </w:r>
    </w:p>
    <w:p w:rsidR="00516B64" w:rsidRPr="000E0B7E" w:rsidRDefault="00516B64" w:rsidP="00516B64">
      <w:pPr>
        <w:rPr>
          <w:b/>
        </w:rPr>
      </w:pPr>
      <w:r w:rsidRPr="000E0B7E">
        <w:rPr>
          <w:b/>
        </w:rPr>
        <w:t>Case</w:t>
      </w:r>
      <w:r w:rsidR="004B343C" w:rsidRPr="000E0B7E">
        <w:rPr>
          <w:b/>
        </w:rPr>
        <w:t>n</w:t>
      </w:r>
      <w:r w:rsidRPr="000E0B7E">
        <w:rPr>
          <w:b/>
        </w:rPr>
        <w:t xml:space="preserve">: </w:t>
      </w:r>
    </w:p>
    <w:p w:rsidR="004B343C" w:rsidRPr="004B343C" w:rsidRDefault="004B343C" w:rsidP="004B343C">
      <w:r w:rsidRPr="004B343C">
        <w:t>Denne case viser de farer</w:t>
      </w:r>
      <w:r w:rsidR="000E0B7E">
        <w:t>,</w:t>
      </w:r>
      <w:r w:rsidRPr="004B343C">
        <w:t xml:space="preserve"> en ansat kan møde på sin arbejdsplads. Der vises såvel dårlig praksis som g</w:t>
      </w:r>
      <w:r w:rsidR="000E0B7E">
        <w:t>ode holdninger og praksis. Det e</w:t>
      </w:r>
      <w:r w:rsidRPr="004B343C">
        <w:t>r casens mål</w:t>
      </w:r>
      <w:r w:rsidR="000E0B7E">
        <w:t>,</w:t>
      </w:r>
      <w:r w:rsidRPr="004B343C">
        <w:t xml:space="preserve"> at deltagerne skal definere hvad der er gode fremgangsmåder</w:t>
      </w:r>
      <w:r w:rsidR="000E0B7E">
        <w:t>,</w:t>
      </w:r>
      <w:r w:rsidRPr="004B343C">
        <w:t xml:space="preserve"> og hvad der skal undgås for at arbejde sikkert og undgå farer</w:t>
      </w:r>
      <w:r w:rsidR="000E0B7E">
        <w:t>,</w:t>
      </w:r>
      <w:r w:rsidRPr="004B343C">
        <w:t xml:space="preserve"> som kan påvirke helbred og førlighed.</w:t>
      </w:r>
    </w:p>
    <w:p w:rsidR="004B343C" w:rsidRPr="000E0B7E" w:rsidRDefault="004B343C" w:rsidP="00516B64">
      <w:pPr>
        <w:rPr>
          <w:color w:val="111111"/>
          <w:shd w:val="clear" w:color="auto" w:fill="FFFFFF"/>
        </w:rPr>
      </w:pPr>
    </w:p>
    <w:p w:rsidR="00516B64" w:rsidRPr="000E0B7E" w:rsidRDefault="004B343C" w:rsidP="00516B64">
      <w:r w:rsidRPr="000E0B7E">
        <w:t xml:space="preserve">Link til videoen: </w:t>
      </w:r>
    </w:p>
    <w:p w:rsidR="004B343C" w:rsidRPr="000E0B7E" w:rsidRDefault="004B343C" w:rsidP="00516B64"/>
    <w:p w:rsidR="004B343C" w:rsidRPr="000E0B7E" w:rsidRDefault="004B343C" w:rsidP="00516B64">
      <w:r w:rsidRPr="000E0B7E">
        <w:rPr>
          <w:noProof/>
        </w:rPr>
        <w:drawing>
          <wp:inline distT="0" distB="0" distL="0" distR="0">
            <wp:extent cx="787400" cy="7874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43C" w:rsidRPr="000E0B7E" w:rsidRDefault="004B343C" w:rsidP="00516B64"/>
    <w:p w:rsidR="00516B64" w:rsidRPr="000E0B7E" w:rsidRDefault="003D6739" w:rsidP="00516B64">
      <w:hyperlink r:id="rId8" w:history="1">
        <w:r w:rsidR="00516B64" w:rsidRPr="000E0B7E">
          <w:rPr>
            <w:rStyle w:val="Hyperlink"/>
          </w:rPr>
          <w:t>https://www.youtube.com/watch?v=TGaClfbWfU4</w:t>
        </w:r>
      </w:hyperlink>
    </w:p>
    <w:p w:rsidR="00516B64" w:rsidRPr="000E0B7E" w:rsidRDefault="00516B64" w:rsidP="00516B64"/>
    <w:p w:rsidR="004B343C" w:rsidRPr="000E0B7E" w:rsidRDefault="004B343C" w:rsidP="00516B64">
      <w:r w:rsidRPr="000E0B7E">
        <w:t>Casen er baseret på at deltagerne ser en video, hvor de skal påpege alle de arbejdsmiljømæssige problemer, som vises i videoen. Deltagerne bør tage noter undervejs</w:t>
      </w:r>
      <w:r w:rsidR="000E0B7E">
        <w:t>,</w:t>
      </w:r>
      <w:r w:rsidRPr="000E0B7E">
        <w:t xml:space="preserve"> medens de ser videoen, om nødvendigt kan video</w:t>
      </w:r>
      <w:r w:rsidR="000E0B7E">
        <w:t>en</w:t>
      </w:r>
      <w:r w:rsidRPr="000E0B7E">
        <w:t xml:space="preserve"> vises en ekstra gang.</w:t>
      </w:r>
    </w:p>
    <w:p w:rsidR="00516B64" w:rsidRPr="000E0B7E" w:rsidRDefault="00516B64" w:rsidP="00516B64"/>
    <w:p w:rsidR="00516B64" w:rsidRPr="000E0B7E" w:rsidRDefault="00516B64" w:rsidP="00516B64">
      <w:pPr>
        <w:rPr>
          <w:b/>
        </w:rPr>
      </w:pPr>
      <w:r w:rsidRPr="000E0B7E">
        <w:rPr>
          <w:b/>
        </w:rPr>
        <w:t>Le</w:t>
      </w:r>
      <w:r w:rsidR="004B343C" w:rsidRPr="000E0B7E">
        <w:rPr>
          <w:b/>
        </w:rPr>
        <w:t>ktionsplan</w:t>
      </w:r>
    </w:p>
    <w:p w:rsidR="004B343C" w:rsidRPr="000E0B7E" w:rsidRDefault="004B343C" w:rsidP="00516B64">
      <w:r w:rsidRPr="000E0B7E">
        <w:t xml:space="preserve">Deltagerne skal have muligheder for at tage noter </w:t>
      </w:r>
    </w:p>
    <w:p w:rsidR="004B343C" w:rsidRPr="000E0B7E" w:rsidRDefault="004B343C" w:rsidP="00516B64"/>
    <w:p w:rsidR="0039779D" w:rsidRPr="000E0B7E" w:rsidRDefault="004B343C" w:rsidP="0039779D">
      <w:pPr>
        <w:jc w:val="both"/>
      </w:pPr>
      <w:r w:rsidRPr="000E0B7E">
        <w:rPr>
          <w:b/>
        </w:rPr>
        <w:t>Instruk</w:t>
      </w:r>
      <w:r w:rsidR="00516B64" w:rsidRPr="000E0B7E">
        <w:rPr>
          <w:b/>
        </w:rPr>
        <w:t xml:space="preserve">tion </w:t>
      </w:r>
      <w:r w:rsidRPr="000E0B7E">
        <w:rPr>
          <w:b/>
        </w:rPr>
        <w:t>til deltagerne</w:t>
      </w:r>
      <w:r w:rsidR="00516B64" w:rsidRPr="000E0B7E">
        <w:t xml:space="preserve">:  </w:t>
      </w:r>
      <w:r w:rsidR="0039779D" w:rsidRPr="000E0B7E">
        <w:t>Tag noter om de arbejdsmiljømæssige forhold, I finder undervejs i videoen.</w:t>
      </w:r>
    </w:p>
    <w:p w:rsidR="0039779D" w:rsidRPr="000E0B7E" w:rsidRDefault="0039779D" w:rsidP="00516B64"/>
    <w:p w:rsidR="0039779D" w:rsidRPr="000E0B7E" w:rsidRDefault="0039779D" w:rsidP="00516B64">
      <w:r w:rsidRPr="000E0B7E">
        <w:t>Deltagerne ser videoen.</w:t>
      </w:r>
    </w:p>
    <w:p w:rsidR="00516B64" w:rsidRPr="000E0B7E" w:rsidRDefault="00516B64" w:rsidP="00516B64"/>
    <w:p w:rsidR="0039779D" w:rsidRPr="000E0B7E" w:rsidRDefault="0039779D" w:rsidP="0039779D">
      <w:pPr>
        <w:jc w:val="both"/>
      </w:pPr>
      <w:r w:rsidRPr="000E0B7E">
        <w:t>Efter videoen fremlægger deltagerne deres observationer, disse noteres på tavle eller flipover</w:t>
      </w:r>
    </w:p>
    <w:p w:rsidR="00516B64" w:rsidRPr="000E0B7E" w:rsidRDefault="00516B64" w:rsidP="00516B64">
      <w:pPr>
        <w:rPr>
          <w:b/>
        </w:rPr>
      </w:pPr>
    </w:p>
    <w:p w:rsidR="0039779D" w:rsidRPr="000E0B7E" w:rsidRDefault="0039779D" w:rsidP="0039779D">
      <w:pPr>
        <w:jc w:val="both"/>
      </w:pPr>
      <w:r w:rsidRPr="000E0B7E">
        <w:t>Kort pause – forberedelse til struktureret gennemgang af sikkerhed og arbejdsmiljø</w:t>
      </w:r>
    </w:p>
    <w:p w:rsidR="00516B64" w:rsidRPr="000E0B7E" w:rsidRDefault="00516B64" w:rsidP="00516B64">
      <w:pPr>
        <w:rPr>
          <w:b/>
        </w:rPr>
      </w:pPr>
    </w:p>
    <w:p w:rsidR="0039779D" w:rsidRPr="000E0B7E" w:rsidRDefault="0039779D" w:rsidP="0039779D">
      <w:pPr>
        <w:jc w:val="both"/>
        <w:rPr>
          <w:b/>
        </w:rPr>
      </w:pPr>
      <w:r w:rsidRPr="000E0B7E">
        <w:rPr>
          <w:b/>
        </w:rPr>
        <w:t>Instruktion til underviseren:</w:t>
      </w:r>
    </w:p>
    <w:p w:rsidR="0039779D" w:rsidRPr="000E0B7E" w:rsidRDefault="0039779D" w:rsidP="0039779D">
      <w:r w:rsidRPr="000E0B7E">
        <w:t>Lektionen er baseret på</w:t>
      </w:r>
      <w:r w:rsidR="000E0B7E">
        <w:t>,</w:t>
      </w:r>
      <w:r w:rsidRPr="000E0B7E">
        <w:t xml:space="preserve"> at deltagerne igen ser videoen, men denne gang pauses videoen hver gang</w:t>
      </w:r>
      <w:r w:rsidR="000E0B7E">
        <w:t>,</w:t>
      </w:r>
      <w:r w:rsidRPr="000E0B7E">
        <w:t xml:space="preserve"> der forekommer situationer med farlig praksis.</w:t>
      </w:r>
    </w:p>
    <w:p w:rsidR="0039779D" w:rsidRPr="000E0B7E" w:rsidRDefault="0039779D" w:rsidP="00516B64"/>
    <w:p w:rsidR="0039779D" w:rsidRPr="000E0B7E" w:rsidRDefault="0039779D" w:rsidP="0039779D">
      <w:pPr>
        <w:jc w:val="both"/>
      </w:pPr>
      <w:r w:rsidRPr="000E0B7E">
        <w:t>Videoen indeholder følgende emner indenfor sikkerhed og arbejdsmiljø:</w:t>
      </w:r>
    </w:p>
    <w:p w:rsidR="0039779D" w:rsidRPr="000E0B7E" w:rsidRDefault="0039779D" w:rsidP="00516B64"/>
    <w:p w:rsidR="0039779D" w:rsidRPr="000E0B7E" w:rsidRDefault="0039779D" w:rsidP="00516B64">
      <w:pPr>
        <w:numPr>
          <w:ilvl w:val="0"/>
          <w:numId w:val="1"/>
        </w:numPr>
        <w:spacing w:after="160" w:line="256" w:lineRule="auto"/>
        <w:contextualSpacing/>
      </w:pPr>
      <w:r w:rsidRPr="000E0B7E">
        <w:t>Rod på arbejdspladsen</w:t>
      </w:r>
    </w:p>
    <w:p w:rsidR="0039779D" w:rsidRPr="000E0B7E" w:rsidRDefault="0039779D" w:rsidP="00516B64">
      <w:pPr>
        <w:numPr>
          <w:ilvl w:val="0"/>
          <w:numId w:val="1"/>
        </w:numPr>
        <w:spacing w:after="160" w:line="256" w:lineRule="auto"/>
        <w:contextualSpacing/>
      </w:pPr>
      <w:r w:rsidRPr="000E0B7E">
        <w:t>Dårlig praksis ved arbejde på byggeplads</w:t>
      </w:r>
    </w:p>
    <w:p w:rsidR="0039779D" w:rsidRPr="000E0B7E" w:rsidRDefault="0039779D" w:rsidP="00516B64">
      <w:pPr>
        <w:numPr>
          <w:ilvl w:val="0"/>
          <w:numId w:val="1"/>
        </w:numPr>
        <w:spacing w:after="160" w:line="256" w:lineRule="auto"/>
        <w:contextualSpacing/>
      </w:pPr>
      <w:r w:rsidRPr="000E0B7E">
        <w:t>Risikovurdering</w:t>
      </w:r>
    </w:p>
    <w:p w:rsidR="0039779D" w:rsidRPr="000E0B7E" w:rsidRDefault="0039779D" w:rsidP="00516B64">
      <w:pPr>
        <w:numPr>
          <w:ilvl w:val="0"/>
          <w:numId w:val="1"/>
        </w:numPr>
        <w:spacing w:after="160" w:line="256" w:lineRule="auto"/>
        <w:contextualSpacing/>
      </w:pPr>
      <w:r w:rsidRPr="000E0B7E">
        <w:t>Forholdsregler, der tages inden arbejde på en byggeplads</w:t>
      </w:r>
    </w:p>
    <w:p w:rsidR="0039779D" w:rsidRPr="000E0B7E" w:rsidRDefault="0039779D" w:rsidP="00516B64">
      <w:pPr>
        <w:numPr>
          <w:ilvl w:val="0"/>
          <w:numId w:val="1"/>
        </w:numPr>
        <w:spacing w:after="160" w:line="256" w:lineRule="auto"/>
        <w:contextualSpacing/>
      </w:pPr>
      <w:r w:rsidRPr="000E0B7E">
        <w:t>Brug af værktøj uden personlige værnemidler</w:t>
      </w:r>
    </w:p>
    <w:p w:rsidR="00864B77" w:rsidRPr="000E0B7E" w:rsidRDefault="00864B77">
      <w:pPr>
        <w:spacing w:after="160" w:line="259" w:lineRule="auto"/>
      </w:pPr>
      <w:r w:rsidRPr="000E0B7E">
        <w:br w:type="page"/>
      </w:r>
    </w:p>
    <w:p w:rsidR="00EE6299" w:rsidRPr="00612D6C" w:rsidRDefault="00612D6C" w:rsidP="00EE6299">
      <w:pPr>
        <w:ind w:left="142" w:right="276"/>
        <w:jc w:val="both"/>
      </w:pPr>
      <w:r w:rsidRPr="00612D6C">
        <w:lastRenderedPageBreak/>
        <w:t>Dette projekt er finansieret med støtte fra Europa-Kommissionen. Denne publikation forpligter kun forfatteren, og Kommissionen kan ikke drages til ansvar for brug af oplysningerne heri.</w:t>
      </w:r>
      <w:bookmarkStart w:id="0" w:name="_GoBack"/>
      <w:bookmarkEnd w:id="0"/>
    </w:p>
    <w:p w:rsidR="00EE6299" w:rsidRPr="00612D6C" w:rsidRDefault="00EE6299" w:rsidP="0039779D"/>
    <w:p w:rsidR="00EE6299" w:rsidRPr="000E0B7E" w:rsidRDefault="000E0B7E" w:rsidP="00EE6299">
      <w:pPr>
        <w:spacing w:line="360" w:lineRule="auto"/>
        <w:ind w:left="142" w:right="276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Spørgeark</w:t>
      </w:r>
    </w:p>
    <w:p w:rsidR="00EE6299" w:rsidRPr="000E0B7E" w:rsidRDefault="0039779D" w:rsidP="00EE6299">
      <w:pPr>
        <w:numPr>
          <w:ilvl w:val="0"/>
          <w:numId w:val="5"/>
        </w:numPr>
        <w:ind w:left="567" w:right="276"/>
        <w:jc w:val="both"/>
        <w:rPr>
          <w:rFonts w:ascii="Calibri" w:hAnsi="Calibri" w:cs="Calibri"/>
          <w:sz w:val="28"/>
          <w:szCs w:val="28"/>
        </w:rPr>
      </w:pPr>
      <w:r w:rsidRPr="000E0B7E">
        <w:rPr>
          <w:rFonts w:ascii="Calibri" w:hAnsi="Calibri" w:cs="Calibri"/>
          <w:sz w:val="28"/>
          <w:szCs w:val="28"/>
        </w:rPr>
        <w:t>Hvilke personlige værnemidler vil du anbefale den ansatte i videoen</w:t>
      </w:r>
      <w:r w:rsidR="00EE6299" w:rsidRPr="000E0B7E">
        <w:rPr>
          <w:rFonts w:ascii="Calibri" w:hAnsi="Calibri" w:cs="Calibri"/>
          <w:sz w:val="28"/>
          <w:szCs w:val="28"/>
        </w:rPr>
        <w:t>?</w:t>
      </w:r>
    </w:p>
    <w:p w:rsidR="00EE6299" w:rsidRPr="000E0B7E" w:rsidRDefault="00EE6299" w:rsidP="00EE6299">
      <w:pPr>
        <w:spacing w:line="360" w:lineRule="auto"/>
        <w:ind w:left="567" w:right="276"/>
        <w:jc w:val="both"/>
        <w:rPr>
          <w:rFonts w:ascii="Calibri" w:hAnsi="Calibri" w:cs="Calibri"/>
          <w:sz w:val="28"/>
          <w:szCs w:val="28"/>
        </w:rPr>
      </w:pPr>
      <w:r w:rsidRPr="000E0B7E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</w:p>
    <w:p w:rsidR="00EE6299" w:rsidRPr="000E0B7E" w:rsidRDefault="0039779D" w:rsidP="00EE6299">
      <w:pPr>
        <w:numPr>
          <w:ilvl w:val="0"/>
          <w:numId w:val="5"/>
        </w:numPr>
        <w:ind w:left="567" w:right="276"/>
        <w:jc w:val="both"/>
        <w:rPr>
          <w:rFonts w:ascii="Calibri" w:hAnsi="Calibri" w:cs="Calibri"/>
          <w:sz w:val="28"/>
          <w:szCs w:val="28"/>
        </w:rPr>
      </w:pPr>
      <w:r w:rsidRPr="000E0B7E">
        <w:rPr>
          <w:rFonts w:ascii="Calibri" w:hAnsi="Calibri" w:cs="Calibri"/>
          <w:sz w:val="28"/>
          <w:szCs w:val="28"/>
        </w:rPr>
        <w:t>Hvorfor kan snævre rum være farlige arbejdssteder?</w:t>
      </w:r>
    </w:p>
    <w:p w:rsidR="00EE6299" w:rsidRPr="000E0B7E" w:rsidRDefault="00EE6299" w:rsidP="00EE6299">
      <w:pPr>
        <w:spacing w:line="360" w:lineRule="auto"/>
        <w:ind w:left="567" w:right="276"/>
        <w:jc w:val="both"/>
        <w:rPr>
          <w:rFonts w:ascii="Calibri" w:hAnsi="Calibri" w:cs="Calibri"/>
          <w:sz w:val="28"/>
          <w:szCs w:val="28"/>
        </w:rPr>
      </w:pPr>
      <w:r w:rsidRPr="000E0B7E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6299" w:rsidRPr="000E0B7E" w:rsidRDefault="0039779D" w:rsidP="0039779D">
      <w:pPr>
        <w:numPr>
          <w:ilvl w:val="0"/>
          <w:numId w:val="5"/>
        </w:numPr>
        <w:ind w:left="567" w:right="276"/>
        <w:jc w:val="both"/>
        <w:rPr>
          <w:rFonts w:ascii="Calibri" w:hAnsi="Calibri" w:cs="Calibri"/>
          <w:sz w:val="28"/>
          <w:szCs w:val="28"/>
        </w:rPr>
      </w:pPr>
      <w:r w:rsidRPr="000E0B7E">
        <w:rPr>
          <w:rFonts w:ascii="Calibri" w:hAnsi="Calibri" w:cs="Calibri"/>
          <w:sz w:val="28"/>
          <w:szCs w:val="28"/>
        </w:rPr>
        <w:t>Hvilke farer kan der være ved arbejde</w:t>
      </w:r>
      <w:r w:rsidR="000E0B7E">
        <w:rPr>
          <w:rFonts w:ascii="Calibri" w:hAnsi="Calibri" w:cs="Calibri"/>
          <w:sz w:val="28"/>
          <w:szCs w:val="28"/>
        </w:rPr>
        <w:t xml:space="preserve"> med eller nær</w:t>
      </w:r>
      <w:r w:rsidRPr="000E0B7E">
        <w:rPr>
          <w:rFonts w:ascii="Calibri" w:hAnsi="Calibri" w:cs="Calibri"/>
          <w:sz w:val="28"/>
          <w:szCs w:val="28"/>
        </w:rPr>
        <w:t xml:space="preserve"> afløb og kloaker? </w:t>
      </w:r>
      <w:r w:rsidR="00EE6299" w:rsidRPr="000E0B7E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 w:rsidRPr="000E0B7E">
        <w:rPr>
          <w:rFonts w:ascii="Calibri" w:hAnsi="Calibri" w:cs="Calibri"/>
          <w:sz w:val="28"/>
          <w:szCs w:val="28"/>
        </w:rPr>
        <w:br/>
      </w:r>
    </w:p>
    <w:p w:rsidR="00EE6299" w:rsidRPr="000E0B7E" w:rsidRDefault="0039779D" w:rsidP="00EE6299">
      <w:pPr>
        <w:pStyle w:val="Listeafsnit"/>
        <w:numPr>
          <w:ilvl w:val="0"/>
          <w:numId w:val="5"/>
        </w:numPr>
        <w:spacing w:after="0" w:line="240" w:lineRule="auto"/>
        <w:ind w:left="567"/>
        <w:rPr>
          <w:sz w:val="28"/>
          <w:szCs w:val="28"/>
          <w:lang w:val="da-DK"/>
        </w:rPr>
      </w:pPr>
      <w:r w:rsidRPr="000E0B7E">
        <w:rPr>
          <w:sz w:val="28"/>
          <w:szCs w:val="28"/>
          <w:lang w:val="da-DK"/>
        </w:rPr>
        <w:t xml:space="preserve">Hvad </w:t>
      </w:r>
      <w:r w:rsidR="000E0B7E" w:rsidRPr="000E0B7E">
        <w:rPr>
          <w:sz w:val="28"/>
          <w:szCs w:val="28"/>
          <w:lang w:val="da-DK"/>
        </w:rPr>
        <w:t>bør en arbejder gøre for at afgøre om luften i en udgravning er sikker</w:t>
      </w:r>
      <w:r w:rsidR="00EE6299" w:rsidRPr="000E0B7E">
        <w:rPr>
          <w:sz w:val="28"/>
          <w:szCs w:val="28"/>
          <w:lang w:val="da-DK"/>
        </w:rPr>
        <w:t>?</w:t>
      </w:r>
    </w:p>
    <w:p w:rsidR="00EE6299" w:rsidRPr="000E0B7E" w:rsidRDefault="00EE6299" w:rsidP="00EE6299">
      <w:pPr>
        <w:spacing w:line="360" w:lineRule="auto"/>
        <w:ind w:left="567" w:right="276"/>
        <w:jc w:val="both"/>
        <w:rPr>
          <w:rFonts w:ascii="Calibri" w:hAnsi="Calibri" w:cs="Calibri"/>
          <w:sz w:val="28"/>
          <w:szCs w:val="28"/>
        </w:rPr>
      </w:pPr>
      <w:r w:rsidRPr="000E0B7E">
        <w:rPr>
          <w:rFonts w:ascii="Calibri" w:hAnsi="Calibri"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0E0B7E" w:rsidRDefault="000E0B7E" w:rsidP="000E0B7E">
      <w:pPr>
        <w:spacing w:line="360" w:lineRule="auto"/>
        <w:ind w:right="276"/>
        <w:jc w:val="both"/>
        <w:rPr>
          <w:rFonts w:ascii="Calibri" w:hAnsi="Calibri" w:cs="Calibri"/>
          <w:sz w:val="28"/>
          <w:szCs w:val="28"/>
        </w:rPr>
      </w:pPr>
    </w:p>
    <w:p w:rsidR="00EE6299" w:rsidRPr="000E0B7E" w:rsidRDefault="000E0B7E" w:rsidP="000E0B7E">
      <w:pPr>
        <w:spacing w:line="360" w:lineRule="auto"/>
        <w:ind w:right="27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Casens e</w:t>
      </w:r>
      <w:r w:rsidRPr="000E0B7E">
        <w:rPr>
          <w:rFonts w:ascii="Calibri" w:hAnsi="Calibri" w:cs="Calibri"/>
          <w:sz w:val="28"/>
          <w:szCs w:val="28"/>
        </w:rPr>
        <w:t>mner</w:t>
      </w:r>
      <w:r w:rsidR="00EE6299" w:rsidRPr="000E0B7E">
        <w:rPr>
          <w:rFonts w:ascii="Calibri" w:hAnsi="Calibri" w:cs="Calibri"/>
          <w:sz w:val="28"/>
          <w:szCs w:val="28"/>
        </w:rPr>
        <w:t>:</w:t>
      </w:r>
    </w:p>
    <w:p w:rsidR="000E0B7E" w:rsidRPr="000E0B7E" w:rsidRDefault="000E0B7E" w:rsidP="00EE6299">
      <w:pPr>
        <w:pStyle w:val="Listeafsnit"/>
        <w:numPr>
          <w:ilvl w:val="0"/>
          <w:numId w:val="6"/>
        </w:numPr>
        <w:spacing w:after="0" w:line="240" w:lineRule="auto"/>
        <w:rPr>
          <w:sz w:val="28"/>
          <w:szCs w:val="28"/>
          <w:lang w:val="da-DK"/>
        </w:rPr>
      </w:pPr>
      <w:r w:rsidRPr="000E0B7E">
        <w:rPr>
          <w:sz w:val="28"/>
          <w:szCs w:val="28"/>
          <w:lang w:val="da-DK"/>
        </w:rPr>
        <w:t>Forholdsregler ved arbejde i snævre rum</w:t>
      </w:r>
    </w:p>
    <w:p w:rsidR="000E0B7E" w:rsidRPr="000E0B7E" w:rsidRDefault="000E0B7E" w:rsidP="00EE6299">
      <w:pPr>
        <w:pStyle w:val="Listeafsnit"/>
        <w:numPr>
          <w:ilvl w:val="0"/>
          <w:numId w:val="6"/>
        </w:numPr>
        <w:spacing w:after="0" w:line="240" w:lineRule="auto"/>
        <w:rPr>
          <w:sz w:val="28"/>
          <w:szCs w:val="28"/>
          <w:lang w:val="da-DK"/>
        </w:rPr>
      </w:pPr>
      <w:r w:rsidRPr="000E0B7E">
        <w:rPr>
          <w:sz w:val="28"/>
          <w:szCs w:val="28"/>
          <w:lang w:val="da-DK"/>
        </w:rPr>
        <w:t>Forholdsregler ved udgravning for at reducere risikoen for kontakt med strømførende kabler, nedfaldende materialer m.m.</w:t>
      </w:r>
    </w:p>
    <w:p w:rsidR="000E0B7E" w:rsidRPr="000E0B7E" w:rsidRDefault="000E0B7E" w:rsidP="00EE6299">
      <w:pPr>
        <w:pStyle w:val="Listeafsnit"/>
        <w:numPr>
          <w:ilvl w:val="0"/>
          <w:numId w:val="6"/>
        </w:numPr>
        <w:spacing w:after="0" w:line="240" w:lineRule="auto"/>
        <w:rPr>
          <w:sz w:val="28"/>
          <w:szCs w:val="28"/>
          <w:lang w:val="da-DK"/>
        </w:rPr>
      </w:pPr>
      <w:r w:rsidRPr="000E0B7E">
        <w:rPr>
          <w:sz w:val="28"/>
          <w:szCs w:val="28"/>
          <w:lang w:val="da-DK"/>
        </w:rPr>
        <w:lastRenderedPageBreak/>
        <w:t>Forhold</w:t>
      </w:r>
      <w:r>
        <w:rPr>
          <w:sz w:val="28"/>
          <w:szCs w:val="28"/>
          <w:lang w:val="da-DK"/>
        </w:rPr>
        <w:t>s</w:t>
      </w:r>
      <w:r w:rsidRPr="000E0B7E">
        <w:rPr>
          <w:sz w:val="28"/>
          <w:szCs w:val="28"/>
          <w:lang w:val="da-DK"/>
        </w:rPr>
        <w:t>regler, der skal tages ved arbejde nær luftledninger</w:t>
      </w:r>
    </w:p>
    <w:p w:rsidR="000E0B7E" w:rsidRPr="000E0B7E" w:rsidRDefault="000E0B7E" w:rsidP="00EE6299">
      <w:pPr>
        <w:pStyle w:val="Listeafsnit"/>
        <w:numPr>
          <w:ilvl w:val="0"/>
          <w:numId w:val="6"/>
        </w:numPr>
        <w:spacing w:after="0" w:line="240" w:lineRule="auto"/>
        <w:rPr>
          <w:sz w:val="28"/>
          <w:szCs w:val="28"/>
          <w:lang w:val="da-DK"/>
        </w:rPr>
      </w:pPr>
      <w:r w:rsidRPr="000E0B7E">
        <w:rPr>
          <w:sz w:val="28"/>
          <w:szCs w:val="28"/>
          <w:lang w:val="da-DK"/>
        </w:rPr>
        <w:t>Farer for fodgængere på byggeplads</w:t>
      </w:r>
    </w:p>
    <w:p w:rsidR="000E0B7E" w:rsidRPr="000E0B7E" w:rsidRDefault="000E0B7E" w:rsidP="00EE6299">
      <w:pPr>
        <w:pStyle w:val="Listeafsnit"/>
        <w:numPr>
          <w:ilvl w:val="0"/>
          <w:numId w:val="6"/>
        </w:numPr>
        <w:spacing w:after="0" w:line="240" w:lineRule="auto"/>
        <w:rPr>
          <w:sz w:val="28"/>
          <w:szCs w:val="28"/>
          <w:lang w:val="da-DK"/>
        </w:rPr>
      </w:pPr>
      <w:r w:rsidRPr="000E0B7E">
        <w:rPr>
          <w:sz w:val="28"/>
          <w:szCs w:val="28"/>
          <w:lang w:val="da-DK"/>
        </w:rPr>
        <w:t>Faren ved at arbejde alene eller for unge ansatte</w:t>
      </w:r>
    </w:p>
    <w:p w:rsidR="00864B77" w:rsidRPr="000E0B7E" w:rsidRDefault="00864B77" w:rsidP="00516B64"/>
    <w:sectPr w:rsidR="00864B77" w:rsidRPr="000E0B7E" w:rsidSect="00516B64">
      <w:headerReference w:type="default" r:id="rId9"/>
      <w:pgSz w:w="11906" w:h="16838"/>
      <w:pgMar w:top="1418" w:right="1418" w:bottom="1418" w:left="1418" w:header="283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739" w:rsidRDefault="003D6739" w:rsidP="00516B64">
      <w:r>
        <w:separator/>
      </w:r>
    </w:p>
  </w:endnote>
  <w:endnote w:type="continuationSeparator" w:id="0">
    <w:p w:rsidR="003D6739" w:rsidRDefault="003D6739" w:rsidP="0051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739" w:rsidRDefault="003D6739" w:rsidP="00516B64">
      <w:r>
        <w:separator/>
      </w:r>
    </w:p>
  </w:footnote>
  <w:footnote w:type="continuationSeparator" w:id="0">
    <w:p w:rsidR="003D6739" w:rsidRDefault="003D6739" w:rsidP="0051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B64" w:rsidRDefault="00516B64">
    <w:pPr>
      <w:pStyle w:val="Sidehoved"/>
    </w:pPr>
    <w:r>
      <w:rPr>
        <w:noProof/>
        <w:lang w:val="en-US" w:eastAsia="en-US"/>
      </w:rPr>
      <w:drawing>
        <wp:inline distT="0" distB="0" distL="0" distR="0" wp14:anchorId="5D64226F">
          <wp:extent cx="196215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64B77">
      <w:tab/>
    </w:r>
    <w:r w:rsidR="00864B77">
      <w:tab/>
    </w:r>
    <w:r>
      <w:rPr>
        <w:noProof/>
        <w:lang w:val="en-US" w:eastAsia="en-US"/>
      </w:rPr>
      <w:drawing>
        <wp:inline distT="0" distB="0" distL="0" distR="0" wp14:anchorId="2EAC6745">
          <wp:extent cx="1419225" cy="6191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D3D"/>
    <w:multiLevelType w:val="hybridMultilevel"/>
    <w:tmpl w:val="AE14AD72"/>
    <w:lvl w:ilvl="0" w:tplc="D2F0D38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F704374"/>
    <w:multiLevelType w:val="hybridMultilevel"/>
    <w:tmpl w:val="E788F7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47B0"/>
    <w:multiLevelType w:val="hybridMultilevel"/>
    <w:tmpl w:val="47D29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4285CE">
      <w:numFmt w:val="bullet"/>
      <w:lvlText w:val="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84437"/>
    <w:multiLevelType w:val="hybridMultilevel"/>
    <w:tmpl w:val="3F725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D2E70"/>
    <w:multiLevelType w:val="hybridMultilevel"/>
    <w:tmpl w:val="DE86451E"/>
    <w:lvl w:ilvl="0" w:tplc="E8C2E8E0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91263"/>
    <w:multiLevelType w:val="hybridMultilevel"/>
    <w:tmpl w:val="217C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64"/>
    <w:rsid w:val="00003A1C"/>
    <w:rsid w:val="000E0B7E"/>
    <w:rsid w:val="000E515F"/>
    <w:rsid w:val="000E6282"/>
    <w:rsid w:val="003047BD"/>
    <w:rsid w:val="0039779D"/>
    <w:rsid w:val="003D6739"/>
    <w:rsid w:val="004A7488"/>
    <w:rsid w:val="004B343C"/>
    <w:rsid w:val="00516B64"/>
    <w:rsid w:val="00612D6C"/>
    <w:rsid w:val="00864B77"/>
    <w:rsid w:val="008B0EF5"/>
    <w:rsid w:val="00A634D3"/>
    <w:rsid w:val="00C331B3"/>
    <w:rsid w:val="00DC553F"/>
    <w:rsid w:val="00EB7A9D"/>
    <w:rsid w:val="00EE6299"/>
    <w:rsid w:val="00FD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32FAF"/>
  <w15:chartTrackingRefBased/>
  <w15:docId w15:val="{7C5F163E-FD01-4AD1-BF6A-922F9CFF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16B64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516B6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idehoved">
    <w:name w:val="header"/>
    <w:basedOn w:val="Normal"/>
    <w:link w:val="SidehovedTegn"/>
    <w:uiPriority w:val="99"/>
    <w:unhideWhenUsed/>
    <w:rsid w:val="00516B64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16B64"/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516B64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16B64"/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GaClfbWfU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2808</Characters>
  <Application>Microsoft Office Word</Application>
  <DocSecurity>0</DocSecurity>
  <Lines>72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Nicosia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Office-bruger</cp:lastModifiedBy>
  <cp:revision>3</cp:revision>
  <dcterms:created xsi:type="dcterms:W3CDTF">2018-10-16T06:36:00Z</dcterms:created>
  <dcterms:modified xsi:type="dcterms:W3CDTF">2019-06-04T05:41:00Z</dcterms:modified>
</cp:coreProperties>
</file>